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8F9A8" w14:textId="77777777" w:rsidR="00217F38" w:rsidRDefault="00C75EF8" w:rsidP="00217F38">
      <w:pPr>
        <w:ind w:left="360"/>
        <w:jc w:val="center"/>
        <w:rPr>
          <w:b/>
          <w:sz w:val="40"/>
          <w:szCs w:val="40"/>
        </w:rPr>
      </w:pPr>
      <w:r>
        <w:rPr>
          <w:noProof/>
        </w:rPr>
        <w:drawing>
          <wp:inline distT="0" distB="0" distL="0" distR="0" wp14:anchorId="02E567D7" wp14:editId="35CD5D7A">
            <wp:extent cx="2254016" cy="500332"/>
            <wp:effectExtent l="0" t="0" r="0" b="0"/>
            <wp:docPr id="4" name="Picture 4" descr="cid:image001.jpg@01D2C02B.ACEEBE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C02B.ACEEBE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334115" cy="518112"/>
                    </a:xfrm>
                    <a:prstGeom prst="rect">
                      <a:avLst/>
                    </a:prstGeom>
                    <a:noFill/>
                    <a:ln>
                      <a:noFill/>
                    </a:ln>
                  </pic:spPr>
                </pic:pic>
              </a:graphicData>
            </a:graphic>
          </wp:inline>
        </w:drawing>
      </w:r>
    </w:p>
    <w:p w14:paraId="422EA707" w14:textId="77777777" w:rsidR="006119A9" w:rsidRDefault="006119A9" w:rsidP="00217F38">
      <w:pPr>
        <w:ind w:left="360"/>
        <w:jc w:val="center"/>
        <w:rPr>
          <w:b/>
          <w:sz w:val="40"/>
          <w:szCs w:val="40"/>
        </w:rPr>
      </w:pPr>
    </w:p>
    <w:p w14:paraId="12CAA145" w14:textId="77777777" w:rsidR="00217F38" w:rsidRPr="00217F38" w:rsidRDefault="00217F38" w:rsidP="00217F38">
      <w:pPr>
        <w:ind w:left="360"/>
        <w:jc w:val="center"/>
        <w:rPr>
          <w:b/>
          <w:sz w:val="40"/>
          <w:szCs w:val="40"/>
        </w:rPr>
      </w:pPr>
      <w:r>
        <w:rPr>
          <w:noProof/>
        </w:rPr>
        <w:drawing>
          <wp:inline distT="0" distB="0" distL="0" distR="0" wp14:anchorId="2287D7E8" wp14:editId="5072ADCE">
            <wp:extent cx="1598703" cy="1566407"/>
            <wp:effectExtent l="0" t="0" r="190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59045" cy="1625530"/>
                    </a:xfrm>
                    <a:prstGeom prst="rect">
                      <a:avLst/>
                    </a:prstGeom>
                  </pic:spPr>
                </pic:pic>
              </a:graphicData>
            </a:graphic>
          </wp:inline>
        </w:drawing>
      </w:r>
    </w:p>
    <w:p w14:paraId="029992DC" w14:textId="77777777" w:rsidR="00217F38" w:rsidRDefault="00217F38" w:rsidP="00217F38">
      <w:pPr>
        <w:spacing w:before="160"/>
        <w:ind w:left="360"/>
        <w:jc w:val="center"/>
        <w:rPr>
          <w:b/>
          <w:sz w:val="40"/>
          <w:szCs w:val="40"/>
        </w:rPr>
      </w:pPr>
    </w:p>
    <w:p w14:paraId="58A3BDA3" w14:textId="77777777" w:rsidR="002F01AB" w:rsidRDefault="002F01AB" w:rsidP="00217F38">
      <w:pPr>
        <w:spacing w:before="160"/>
        <w:ind w:left="360"/>
        <w:jc w:val="center"/>
        <w:rPr>
          <w:b/>
          <w:sz w:val="40"/>
          <w:szCs w:val="40"/>
        </w:rPr>
      </w:pPr>
    </w:p>
    <w:p w14:paraId="1CAF0D81" w14:textId="77777777" w:rsidR="00217F38" w:rsidRDefault="00217F38" w:rsidP="00217F38">
      <w:pPr>
        <w:spacing w:before="160"/>
        <w:ind w:left="360"/>
        <w:jc w:val="center"/>
        <w:rPr>
          <w:b/>
          <w:sz w:val="40"/>
          <w:szCs w:val="40"/>
        </w:rPr>
      </w:pPr>
      <w:r w:rsidRPr="00217F38">
        <w:rPr>
          <w:b/>
          <w:sz w:val="40"/>
          <w:szCs w:val="40"/>
        </w:rPr>
        <w:t xml:space="preserve">BSLMC </w:t>
      </w:r>
      <w:r>
        <w:rPr>
          <w:b/>
          <w:sz w:val="40"/>
          <w:szCs w:val="40"/>
        </w:rPr>
        <w:t xml:space="preserve">Application for Administrative </w:t>
      </w:r>
    </w:p>
    <w:p w14:paraId="02A5DEF1" w14:textId="77777777" w:rsidR="00217F38" w:rsidRDefault="00217F38" w:rsidP="00217F38">
      <w:pPr>
        <w:spacing w:before="160"/>
        <w:ind w:left="360"/>
        <w:jc w:val="center"/>
        <w:rPr>
          <w:b/>
          <w:sz w:val="40"/>
          <w:szCs w:val="40"/>
        </w:rPr>
      </w:pPr>
      <w:r>
        <w:rPr>
          <w:b/>
          <w:sz w:val="40"/>
          <w:szCs w:val="40"/>
        </w:rPr>
        <w:t>Review of Research</w:t>
      </w:r>
    </w:p>
    <w:p w14:paraId="30666532" w14:textId="77777777" w:rsidR="00217F38" w:rsidRPr="00217F38" w:rsidRDefault="00217F38" w:rsidP="00217F38">
      <w:pPr>
        <w:spacing w:before="160"/>
        <w:ind w:left="360"/>
        <w:jc w:val="center"/>
        <w:rPr>
          <w:b/>
          <w:sz w:val="40"/>
          <w:szCs w:val="40"/>
        </w:rPr>
      </w:pPr>
    </w:p>
    <w:p w14:paraId="6344F7FF" w14:textId="507A1077" w:rsidR="00217F38" w:rsidRPr="00217F38" w:rsidRDefault="005A62DA" w:rsidP="00217F38">
      <w:pPr>
        <w:ind w:left="360"/>
        <w:jc w:val="center"/>
        <w:rPr>
          <w:b/>
          <w:sz w:val="40"/>
        </w:rPr>
      </w:pPr>
      <w:r>
        <w:rPr>
          <w:b/>
          <w:sz w:val="40"/>
        </w:rPr>
        <w:t>Department Reviewer/Approver</w:t>
      </w:r>
      <w:r w:rsidR="00217F38" w:rsidRPr="00217F38">
        <w:rPr>
          <w:b/>
          <w:sz w:val="40"/>
        </w:rPr>
        <w:t xml:space="preserve"> Instructions</w:t>
      </w:r>
    </w:p>
    <w:p w14:paraId="67EAD165" w14:textId="77777777" w:rsidR="00217F38" w:rsidRPr="00217F38" w:rsidRDefault="00217F38" w:rsidP="00217F38">
      <w:pPr>
        <w:spacing w:after="0"/>
        <w:ind w:left="360"/>
        <w:jc w:val="center"/>
        <w:rPr>
          <w:sz w:val="32"/>
          <w:szCs w:val="32"/>
        </w:rPr>
      </w:pPr>
      <w:r w:rsidRPr="00217F38">
        <w:rPr>
          <w:sz w:val="32"/>
          <w:szCs w:val="32"/>
        </w:rPr>
        <w:t>Version 1.0</w:t>
      </w:r>
    </w:p>
    <w:p w14:paraId="366FEEC7" w14:textId="77777777" w:rsidR="00217F38" w:rsidRDefault="00217F38" w:rsidP="00217F38">
      <w:pPr>
        <w:ind w:left="360"/>
        <w:jc w:val="center"/>
        <w:rPr>
          <w:sz w:val="32"/>
          <w:szCs w:val="32"/>
        </w:rPr>
      </w:pPr>
      <w:r w:rsidRPr="00217F38">
        <w:rPr>
          <w:sz w:val="32"/>
          <w:szCs w:val="32"/>
        </w:rPr>
        <w:t>Office of Clinical Research</w:t>
      </w:r>
    </w:p>
    <w:p w14:paraId="7F280F06" w14:textId="77777777" w:rsidR="002F01AB" w:rsidRDefault="002F01AB">
      <w:pPr>
        <w:rPr>
          <w:sz w:val="32"/>
          <w:szCs w:val="32"/>
        </w:rPr>
      </w:pPr>
      <w:r>
        <w:rPr>
          <w:sz w:val="32"/>
          <w:szCs w:val="32"/>
        </w:rPr>
        <w:br w:type="page"/>
      </w:r>
    </w:p>
    <w:sdt>
      <w:sdtPr>
        <w:rPr>
          <w:rFonts w:asciiTheme="minorHAnsi" w:eastAsiaTheme="minorHAnsi" w:hAnsiTheme="minorHAnsi" w:cstheme="minorBidi"/>
          <w:b/>
          <w:bCs/>
          <w:color w:val="auto"/>
          <w:sz w:val="22"/>
          <w:szCs w:val="22"/>
        </w:rPr>
        <w:id w:val="1604297775"/>
        <w:docPartObj>
          <w:docPartGallery w:val="Table of Contents"/>
          <w:docPartUnique/>
        </w:docPartObj>
      </w:sdtPr>
      <w:sdtEndPr>
        <w:rPr>
          <w:b w:val="0"/>
          <w:bCs w:val="0"/>
          <w:noProof/>
        </w:rPr>
      </w:sdtEndPr>
      <w:sdtContent>
        <w:p w14:paraId="3ED54500" w14:textId="77777777" w:rsidR="00AE4346" w:rsidRPr="00AE4346" w:rsidRDefault="00AE4346" w:rsidP="00AE4346">
          <w:pPr>
            <w:pStyle w:val="TOCHeading"/>
            <w:rPr>
              <w:rFonts w:ascii="Cambria" w:hAnsi="Cambria"/>
              <w:b/>
              <w:bCs/>
              <w:sz w:val="28"/>
              <w:szCs w:val="28"/>
            </w:rPr>
          </w:pPr>
          <w:r w:rsidRPr="00AE4346">
            <w:rPr>
              <w:rFonts w:ascii="Cambria" w:hAnsi="Cambria"/>
              <w:b/>
              <w:bCs/>
              <w:sz w:val="28"/>
              <w:szCs w:val="28"/>
            </w:rPr>
            <w:t>Table of Contents</w:t>
          </w:r>
        </w:p>
        <w:p w14:paraId="16C4F987" w14:textId="77777777" w:rsidR="00AE4346" w:rsidRPr="00071A10" w:rsidRDefault="00AE4346" w:rsidP="00AE4346">
          <w:pPr>
            <w:rPr>
              <w:lang w:eastAsia="ja-JP"/>
            </w:rPr>
          </w:pPr>
        </w:p>
        <w:p w14:paraId="37FB53A8" w14:textId="3C17EA65" w:rsidR="008212C6" w:rsidRDefault="00AE4346">
          <w:pPr>
            <w:pStyle w:val="TOC1"/>
            <w:tabs>
              <w:tab w:val="right" w:leader="dot" w:pos="10070"/>
            </w:tabs>
            <w:rPr>
              <w:rFonts w:cstheme="minorBidi"/>
              <w:noProof/>
            </w:rPr>
          </w:pPr>
          <w:r>
            <w:fldChar w:fldCharType="begin"/>
          </w:r>
          <w:r>
            <w:instrText xml:space="preserve"> TOC \o "1-3" \h \z \u </w:instrText>
          </w:r>
          <w:r>
            <w:fldChar w:fldCharType="separate"/>
          </w:r>
          <w:hyperlink w:anchor="_Toc19539434" w:history="1">
            <w:r w:rsidR="008212C6" w:rsidRPr="00351835">
              <w:rPr>
                <w:rStyle w:val="Hyperlink"/>
                <w:rFonts w:ascii="Cambria" w:hAnsi="Cambria"/>
                <w:b/>
                <w:bCs/>
                <w:noProof/>
              </w:rPr>
              <w:t>Definitions</w:t>
            </w:r>
            <w:r w:rsidR="008212C6">
              <w:rPr>
                <w:noProof/>
                <w:webHidden/>
              </w:rPr>
              <w:tab/>
            </w:r>
            <w:r w:rsidR="008212C6">
              <w:rPr>
                <w:noProof/>
                <w:webHidden/>
              </w:rPr>
              <w:fldChar w:fldCharType="begin"/>
            </w:r>
            <w:r w:rsidR="008212C6">
              <w:rPr>
                <w:noProof/>
                <w:webHidden/>
              </w:rPr>
              <w:instrText xml:space="preserve"> PAGEREF _Toc19539434 \h </w:instrText>
            </w:r>
            <w:r w:rsidR="008212C6">
              <w:rPr>
                <w:noProof/>
                <w:webHidden/>
              </w:rPr>
            </w:r>
            <w:r w:rsidR="008212C6">
              <w:rPr>
                <w:noProof/>
                <w:webHidden/>
              </w:rPr>
              <w:fldChar w:fldCharType="separate"/>
            </w:r>
            <w:r w:rsidR="008212C6">
              <w:rPr>
                <w:noProof/>
                <w:webHidden/>
              </w:rPr>
              <w:t>3</w:t>
            </w:r>
            <w:r w:rsidR="008212C6">
              <w:rPr>
                <w:noProof/>
                <w:webHidden/>
              </w:rPr>
              <w:fldChar w:fldCharType="end"/>
            </w:r>
          </w:hyperlink>
        </w:p>
        <w:p w14:paraId="3FC51418" w14:textId="131386CF" w:rsidR="008212C6" w:rsidRDefault="00911D09">
          <w:pPr>
            <w:pStyle w:val="TOC1"/>
            <w:tabs>
              <w:tab w:val="right" w:leader="dot" w:pos="10070"/>
            </w:tabs>
            <w:rPr>
              <w:rFonts w:cstheme="minorBidi"/>
              <w:noProof/>
            </w:rPr>
          </w:pPr>
          <w:hyperlink w:anchor="_Toc19539435" w:history="1">
            <w:r w:rsidR="008212C6" w:rsidRPr="00351835">
              <w:rPr>
                <w:rStyle w:val="Hyperlink"/>
                <w:rFonts w:ascii="Cambria" w:hAnsi="Cambria"/>
                <w:b/>
                <w:bCs/>
                <w:noProof/>
              </w:rPr>
              <w:t>Email to Department Reviewer/Approver</w:t>
            </w:r>
            <w:r w:rsidR="008212C6">
              <w:rPr>
                <w:noProof/>
                <w:webHidden/>
              </w:rPr>
              <w:tab/>
            </w:r>
            <w:r w:rsidR="008212C6">
              <w:rPr>
                <w:noProof/>
                <w:webHidden/>
              </w:rPr>
              <w:fldChar w:fldCharType="begin"/>
            </w:r>
            <w:r w:rsidR="008212C6">
              <w:rPr>
                <w:noProof/>
                <w:webHidden/>
              </w:rPr>
              <w:instrText xml:space="preserve"> PAGEREF _Toc19539435 \h </w:instrText>
            </w:r>
            <w:r w:rsidR="008212C6">
              <w:rPr>
                <w:noProof/>
                <w:webHidden/>
              </w:rPr>
            </w:r>
            <w:r w:rsidR="008212C6">
              <w:rPr>
                <w:noProof/>
                <w:webHidden/>
              </w:rPr>
              <w:fldChar w:fldCharType="separate"/>
            </w:r>
            <w:r w:rsidR="008212C6">
              <w:rPr>
                <w:noProof/>
                <w:webHidden/>
              </w:rPr>
              <w:t>4</w:t>
            </w:r>
            <w:r w:rsidR="008212C6">
              <w:rPr>
                <w:noProof/>
                <w:webHidden/>
              </w:rPr>
              <w:fldChar w:fldCharType="end"/>
            </w:r>
          </w:hyperlink>
        </w:p>
        <w:p w14:paraId="06A0C22D" w14:textId="5B7268DF" w:rsidR="008212C6" w:rsidRDefault="00911D09">
          <w:pPr>
            <w:pStyle w:val="TOC1"/>
            <w:tabs>
              <w:tab w:val="right" w:leader="dot" w:pos="10070"/>
            </w:tabs>
            <w:rPr>
              <w:rFonts w:cstheme="minorBidi"/>
              <w:noProof/>
            </w:rPr>
          </w:pPr>
          <w:hyperlink w:anchor="_Toc19539436" w:history="1">
            <w:r w:rsidR="008212C6" w:rsidRPr="00351835">
              <w:rPr>
                <w:rStyle w:val="Hyperlink"/>
                <w:rFonts w:ascii="Cambria" w:hAnsi="Cambria"/>
                <w:b/>
                <w:bCs/>
                <w:noProof/>
              </w:rPr>
              <w:t>Logging into BSLMC Administrative Application</w:t>
            </w:r>
            <w:r w:rsidR="008212C6">
              <w:rPr>
                <w:noProof/>
                <w:webHidden/>
              </w:rPr>
              <w:tab/>
            </w:r>
            <w:r w:rsidR="008212C6">
              <w:rPr>
                <w:noProof/>
                <w:webHidden/>
              </w:rPr>
              <w:fldChar w:fldCharType="begin"/>
            </w:r>
            <w:r w:rsidR="008212C6">
              <w:rPr>
                <w:noProof/>
                <w:webHidden/>
              </w:rPr>
              <w:instrText xml:space="preserve"> PAGEREF _Toc19539436 \h </w:instrText>
            </w:r>
            <w:r w:rsidR="008212C6">
              <w:rPr>
                <w:noProof/>
                <w:webHidden/>
              </w:rPr>
            </w:r>
            <w:r w:rsidR="008212C6">
              <w:rPr>
                <w:noProof/>
                <w:webHidden/>
              </w:rPr>
              <w:fldChar w:fldCharType="separate"/>
            </w:r>
            <w:r w:rsidR="008212C6">
              <w:rPr>
                <w:noProof/>
                <w:webHidden/>
              </w:rPr>
              <w:t>5</w:t>
            </w:r>
            <w:r w:rsidR="008212C6">
              <w:rPr>
                <w:noProof/>
                <w:webHidden/>
              </w:rPr>
              <w:fldChar w:fldCharType="end"/>
            </w:r>
          </w:hyperlink>
        </w:p>
        <w:p w14:paraId="6045E993" w14:textId="6B5FED1A" w:rsidR="008212C6" w:rsidRDefault="00911D09">
          <w:pPr>
            <w:pStyle w:val="TOC1"/>
            <w:tabs>
              <w:tab w:val="right" w:leader="dot" w:pos="10070"/>
            </w:tabs>
            <w:rPr>
              <w:rFonts w:cstheme="minorBidi"/>
              <w:noProof/>
            </w:rPr>
          </w:pPr>
          <w:hyperlink w:anchor="_Toc19539437" w:history="1">
            <w:r w:rsidR="008212C6" w:rsidRPr="00351835">
              <w:rPr>
                <w:rStyle w:val="Hyperlink"/>
                <w:rFonts w:ascii="Cambria" w:hAnsi="Cambria"/>
                <w:b/>
                <w:bCs/>
                <w:noProof/>
              </w:rPr>
              <w:t>Basic Layout and Navigation</w:t>
            </w:r>
            <w:r w:rsidR="008212C6">
              <w:rPr>
                <w:noProof/>
                <w:webHidden/>
              </w:rPr>
              <w:tab/>
            </w:r>
            <w:r w:rsidR="008212C6">
              <w:rPr>
                <w:noProof/>
                <w:webHidden/>
              </w:rPr>
              <w:fldChar w:fldCharType="begin"/>
            </w:r>
            <w:r w:rsidR="008212C6">
              <w:rPr>
                <w:noProof/>
                <w:webHidden/>
              </w:rPr>
              <w:instrText xml:space="preserve"> PAGEREF _Toc19539437 \h </w:instrText>
            </w:r>
            <w:r w:rsidR="008212C6">
              <w:rPr>
                <w:noProof/>
                <w:webHidden/>
              </w:rPr>
            </w:r>
            <w:r w:rsidR="008212C6">
              <w:rPr>
                <w:noProof/>
                <w:webHidden/>
              </w:rPr>
              <w:fldChar w:fldCharType="separate"/>
            </w:r>
            <w:r w:rsidR="008212C6">
              <w:rPr>
                <w:noProof/>
                <w:webHidden/>
              </w:rPr>
              <w:t>5</w:t>
            </w:r>
            <w:r w:rsidR="008212C6">
              <w:rPr>
                <w:noProof/>
                <w:webHidden/>
              </w:rPr>
              <w:fldChar w:fldCharType="end"/>
            </w:r>
          </w:hyperlink>
        </w:p>
        <w:p w14:paraId="751E9333" w14:textId="4D424DEE" w:rsidR="008212C6" w:rsidRDefault="00911D09">
          <w:pPr>
            <w:pStyle w:val="TOC1"/>
            <w:tabs>
              <w:tab w:val="right" w:leader="dot" w:pos="10070"/>
            </w:tabs>
            <w:rPr>
              <w:rFonts w:cstheme="minorBidi"/>
              <w:noProof/>
            </w:rPr>
          </w:pPr>
          <w:hyperlink w:anchor="_Toc19539438" w:history="1">
            <w:r w:rsidR="008212C6" w:rsidRPr="00351835">
              <w:rPr>
                <w:rStyle w:val="Hyperlink"/>
                <w:rFonts w:ascii="Cambria" w:hAnsi="Cambria"/>
                <w:b/>
                <w:bCs/>
                <w:noProof/>
              </w:rPr>
              <w:t>Department Review and Approval/Deferral</w:t>
            </w:r>
            <w:r w:rsidR="008212C6">
              <w:rPr>
                <w:noProof/>
                <w:webHidden/>
              </w:rPr>
              <w:tab/>
            </w:r>
            <w:r w:rsidR="008212C6">
              <w:rPr>
                <w:noProof/>
                <w:webHidden/>
              </w:rPr>
              <w:fldChar w:fldCharType="begin"/>
            </w:r>
            <w:r w:rsidR="008212C6">
              <w:rPr>
                <w:noProof/>
                <w:webHidden/>
              </w:rPr>
              <w:instrText xml:space="preserve"> PAGEREF _Toc19539438 \h </w:instrText>
            </w:r>
            <w:r w:rsidR="008212C6">
              <w:rPr>
                <w:noProof/>
                <w:webHidden/>
              </w:rPr>
            </w:r>
            <w:r w:rsidR="008212C6">
              <w:rPr>
                <w:noProof/>
                <w:webHidden/>
              </w:rPr>
              <w:fldChar w:fldCharType="separate"/>
            </w:r>
            <w:r w:rsidR="008212C6">
              <w:rPr>
                <w:noProof/>
                <w:webHidden/>
              </w:rPr>
              <w:t>7</w:t>
            </w:r>
            <w:r w:rsidR="008212C6">
              <w:rPr>
                <w:noProof/>
                <w:webHidden/>
              </w:rPr>
              <w:fldChar w:fldCharType="end"/>
            </w:r>
          </w:hyperlink>
        </w:p>
        <w:p w14:paraId="310213D3" w14:textId="40D87DA0" w:rsidR="008212C6" w:rsidRDefault="00911D09">
          <w:pPr>
            <w:pStyle w:val="TOC1"/>
            <w:tabs>
              <w:tab w:val="right" w:leader="dot" w:pos="10070"/>
            </w:tabs>
            <w:rPr>
              <w:rFonts w:cstheme="minorBidi"/>
              <w:noProof/>
            </w:rPr>
          </w:pPr>
          <w:hyperlink w:anchor="_Toc19539439" w:history="1">
            <w:r w:rsidR="008212C6" w:rsidRPr="00351835">
              <w:rPr>
                <w:rStyle w:val="Hyperlink"/>
                <w:rFonts w:ascii="Cambria" w:hAnsi="Cambria"/>
                <w:b/>
                <w:bCs/>
                <w:noProof/>
              </w:rPr>
              <w:t>Institutional Approval or Deferral</w:t>
            </w:r>
            <w:r w:rsidR="008212C6">
              <w:rPr>
                <w:noProof/>
                <w:webHidden/>
              </w:rPr>
              <w:tab/>
            </w:r>
            <w:r w:rsidR="008212C6">
              <w:rPr>
                <w:noProof/>
                <w:webHidden/>
              </w:rPr>
              <w:fldChar w:fldCharType="begin"/>
            </w:r>
            <w:r w:rsidR="008212C6">
              <w:rPr>
                <w:noProof/>
                <w:webHidden/>
              </w:rPr>
              <w:instrText xml:space="preserve"> PAGEREF _Toc19539439 \h </w:instrText>
            </w:r>
            <w:r w:rsidR="008212C6">
              <w:rPr>
                <w:noProof/>
                <w:webHidden/>
              </w:rPr>
            </w:r>
            <w:r w:rsidR="008212C6">
              <w:rPr>
                <w:noProof/>
                <w:webHidden/>
              </w:rPr>
              <w:fldChar w:fldCharType="separate"/>
            </w:r>
            <w:r w:rsidR="008212C6">
              <w:rPr>
                <w:noProof/>
                <w:webHidden/>
              </w:rPr>
              <w:t>8</w:t>
            </w:r>
            <w:r w:rsidR="008212C6">
              <w:rPr>
                <w:noProof/>
                <w:webHidden/>
              </w:rPr>
              <w:fldChar w:fldCharType="end"/>
            </w:r>
          </w:hyperlink>
        </w:p>
        <w:p w14:paraId="1066BED2" w14:textId="786AE5B5" w:rsidR="00AE4346" w:rsidRDefault="00AE4346" w:rsidP="00AE4346">
          <w:pPr>
            <w:spacing w:after="120"/>
          </w:pPr>
          <w:r>
            <w:rPr>
              <w:b/>
              <w:bCs/>
              <w:noProof/>
            </w:rPr>
            <w:fldChar w:fldCharType="end"/>
          </w:r>
        </w:p>
      </w:sdtContent>
    </w:sdt>
    <w:p w14:paraId="50B3294C" w14:textId="77777777" w:rsidR="00AE4346" w:rsidRDefault="00AE4346" w:rsidP="00AE4346">
      <w:pPr>
        <w:rPr>
          <w:b/>
        </w:rPr>
      </w:pPr>
    </w:p>
    <w:p w14:paraId="04442C7E" w14:textId="77777777" w:rsidR="00AE4346" w:rsidRDefault="00AE4346" w:rsidP="00AE4346">
      <w:pPr>
        <w:rPr>
          <w:b/>
        </w:rPr>
      </w:pPr>
      <w:r>
        <w:rPr>
          <w:b/>
        </w:rPr>
        <w:br w:type="page"/>
      </w:r>
    </w:p>
    <w:p w14:paraId="466B961F" w14:textId="3E1C7EA8" w:rsidR="00AE4346" w:rsidRPr="00AE4346" w:rsidRDefault="00AE4346" w:rsidP="00AE4346">
      <w:pPr>
        <w:pStyle w:val="Heading1"/>
        <w:rPr>
          <w:rFonts w:ascii="Cambria" w:hAnsi="Cambria"/>
          <w:b/>
          <w:bCs/>
          <w:sz w:val="28"/>
          <w:szCs w:val="28"/>
        </w:rPr>
      </w:pPr>
      <w:bookmarkStart w:id="0" w:name="_Toc19539434"/>
      <w:r w:rsidRPr="00AE4346">
        <w:rPr>
          <w:rFonts w:ascii="Cambria" w:hAnsi="Cambria"/>
          <w:b/>
          <w:bCs/>
          <w:sz w:val="28"/>
          <w:szCs w:val="28"/>
        </w:rPr>
        <w:lastRenderedPageBreak/>
        <w:t>Definitions</w:t>
      </w:r>
      <w:bookmarkEnd w:id="0"/>
    </w:p>
    <w:p w14:paraId="5E52C7C1" w14:textId="5B0D8F41" w:rsidR="00DD06E5" w:rsidRDefault="00DD06E5" w:rsidP="00DD06E5">
      <w:pPr>
        <w:rPr>
          <w:u w:val="single"/>
        </w:rPr>
      </w:pPr>
      <w:r>
        <w:rPr>
          <w:u w:val="single"/>
        </w:rPr>
        <w:t>Enterprise Computing Account</w:t>
      </w:r>
      <w:r w:rsidR="00517BEB">
        <w:rPr>
          <w:u w:val="single"/>
        </w:rPr>
        <w:t xml:space="preserve"> (ECA</w:t>
      </w:r>
      <w:r>
        <w:rPr>
          <w:u w:val="single"/>
        </w:rPr>
        <w:t>)</w:t>
      </w:r>
      <w:r>
        <w:t xml:space="preserve"> – Access to the application requires a BCM </w:t>
      </w:r>
      <w:r w:rsidR="00517BEB">
        <w:t>ECA</w:t>
      </w:r>
      <w:r>
        <w:t xml:space="preserve">. This is also known as your Baylor email username. If you do not have an ECA, please contact the IT Service Center at 713-798-8737 or </w:t>
      </w:r>
      <w:hyperlink r:id="rId11" w:history="1">
        <w:r>
          <w:rPr>
            <w:rStyle w:val="Hyperlink"/>
          </w:rPr>
          <w:t>https://sso.bcm.edu</w:t>
        </w:r>
      </w:hyperlink>
      <w:r>
        <w:t>.</w:t>
      </w:r>
    </w:p>
    <w:p w14:paraId="57C65BE3" w14:textId="1B18A6D7" w:rsidR="00ED7C83" w:rsidRDefault="008427D6" w:rsidP="00AE4346">
      <w:r>
        <w:rPr>
          <w:u w:val="single"/>
        </w:rPr>
        <w:t>Reviewer/Approver</w:t>
      </w:r>
      <w:r w:rsidR="00ED7C83">
        <w:t xml:space="preserve"> –</w:t>
      </w:r>
      <w:r>
        <w:t xml:space="preserve"> There could be one more persons assigned as reviewer and/or approver for each hospital clinical area that plans to be used for the research study. This person(s) would receive the emails that there is an application that needs to be reviewed for their department for approval. </w:t>
      </w:r>
    </w:p>
    <w:p w14:paraId="07A90534" w14:textId="5EDF2DEE" w:rsidR="002A3E08" w:rsidRPr="002A3E08" w:rsidRDefault="00517BEB" w:rsidP="00AE4346">
      <w:r>
        <w:rPr>
          <w:u w:val="single"/>
        </w:rPr>
        <w:t>Principal Investigator (PI)</w:t>
      </w:r>
      <w:r>
        <w:t xml:space="preserve"> </w:t>
      </w:r>
      <w:r w:rsidR="002A3E08">
        <w:t>–</w:t>
      </w:r>
      <w:r w:rsidR="00A9283F">
        <w:t xml:space="preserve"> </w:t>
      </w:r>
      <w:r w:rsidR="00A9283F" w:rsidRPr="00A9283F">
        <w:t>The person(s) in charge of a clinical trial or a scientific research grant. The principal investigator prepares and carries out the clinical trial protocol (plan for the study) or research paid for by the grant. The principal investigator also analyzes the data and reports the results of the trial or grant research.</w:t>
      </w:r>
      <w:r w:rsidR="008427D6">
        <w:t xml:space="preserve"> </w:t>
      </w:r>
    </w:p>
    <w:p w14:paraId="624EE3A5" w14:textId="78A8DFEB" w:rsidR="00916D76" w:rsidRDefault="00916D76" w:rsidP="00916D76">
      <w:r>
        <w:rPr>
          <w:u w:val="single"/>
        </w:rPr>
        <w:t>Review</w:t>
      </w:r>
      <w:r w:rsidRPr="00ED7C83">
        <w:rPr>
          <w:u w:val="single"/>
        </w:rPr>
        <w:t xml:space="preserve"> Team </w:t>
      </w:r>
      <w:r>
        <w:t>– Review team or Administrative Review Team is the staff in the Office of Clinical Research that will review application for completeness and seek all necessary approvals from Baylor St. Luke’s Medical Center. Review team will be the primary contacts for any questions during the review.</w:t>
      </w:r>
    </w:p>
    <w:p w14:paraId="5A7AD8B3" w14:textId="1265C8A3" w:rsidR="00A656F0" w:rsidRDefault="00A656F0" w:rsidP="00916D76">
      <w:r>
        <w:rPr>
          <w:u w:val="single"/>
        </w:rPr>
        <w:t>Study Team</w:t>
      </w:r>
      <w:r>
        <w:t xml:space="preserve"> – This consists of the PI and any of his staff working on the study.</w:t>
      </w:r>
    </w:p>
    <w:p w14:paraId="2926BB05" w14:textId="2D12B886" w:rsidR="00AE4346" w:rsidRDefault="00A656F0" w:rsidP="00AE4346">
      <w:r>
        <w:rPr>
          <w:u w:val="single"/>
        </w:rPr>
        <w:t>Defer</w:t>
      </w:r>
      <w:r>
        <w:t xml:space="preserve"> - </w:t>
      </w:r>
      <w:r>
        <w:tab/>
        <w:t xml:space="preserve">Deferral of a study does not disapprove it, unless you enter a comment that you wish to disapprove it and reason. When a deferral is sent, the review team will let the study team know what questions or concerns the department or area may have to try to resolve them. If the issue is resolved, the department/area will be sent another email to re-review the study to either Approve or Defer again. </w:t>
      </w:r>
    </w:p>
    <w:p w14:paraId="423DB8CF" w14:textId="59A488E1" w:rsidR="00A656F0" w:rsidRDefault="00A656F0" w:rsidP="00AE4346">
      <w:r>
        <w:rPr>
          <w:u w:val="single"/>
        </w:rPr>
        <w:t>Approve</w:t>
      </w:r>
      <w:r>
        <w:t xml:space="preserve"> – There are no concerns that need to be addressed and the department/area approves the study to be done.</w:t>
      </w:r>
    </w:p>
    <w:p w14:paraId="4882BA41" w14:textId="77777777" w:rsidR="00AC6C9F" w:rsidRPr="00B40EC8" w:rsidRDefault="00AC6C9F" w:rsidP="00AC6C9F">
      <w:r>
        <w:rPr>
          <w:u w:val="single"/>
        </w:rPr>
        <w:t>Institutional Approval</w:t>
      </w:r>
      <w:r>
        <w:t xml:space="preserve"> – BSLMC administrative approval from institutional official over research. Final approval before study can start at BSLMC.</w:t>
      </w:r>
    </w:p>
    <w:p w14:paraId="18240D5C" w14:textId="77777777" w:rsidR="00AC6C9F" w:rsidRPr="00A656F0" w:rsidRDefault="00AC6C9F" w:rsidP="00AE4346">
      <w:bookmarkStart w:id="1" w:name="_GoBack"/>
      <w:bookmarkEnd w:id="1"/>
    </w:p>
    <w:p w14:paraId="4DE16F08" w14:textId="241D796F" w:rsidR="00AE4346" w:rsidRDefault="00AE4346">
      <w:pPr>
        <w:rPr>
          <w:sz w:val="32"/>
          <w:szCs w:val="32"/>
        </w:rPr>
      </w:pPr>
    </w:p>
    <w:p w14:paraId="36EB3877" w14:textId="77777777" w:rsidR="002A3E08" w:rsidRDefault="002A3E08">
      <w:pPr>
        <w:rPr>
          <w:rFonts w:ascii="Cambria" w:eastAsiaTheme="majorEastAsia" w:hAnsi="Cambria" w:cstheme="majorBidi"/>
          <w:b/>
          <w:bCs/>
          <w:color w:val="2E74B5" w:themeColor="accent1" w:themeShade="BF"/>
          <w:sz w:val="28"/>
          <w:szCs w:val="28"/>
        </w:rPr>
      </w:pPr>
      <w:r>
        <w:rPr>
          <w:rFonts w:ascii="Cambria" w:hAnsi="Cambria"/>
          <w:b/>
          <w:bCs/>
          <w:sz w:val="28"/>
          <w:szCs w:val="28"/>
        </w:rPr>
        <w:br w:type="page"/>
      </w:r>
    </w:p>
    <w:p w14:paraId="5C6D52EE" w14:textId="36FA6C52" w:rsidR="00AE4346" w:rsidRPr="00AE4346" w:rsidRDefault="005F1338" w:rsidP="00AE4346">
      <w:pPr>
        <w:pStyle w:val="Heading1"/>
        <w:spacing w:before="480" w:line="276" w:lineRule="auto"/>
        <w:rPr>
          <w:rFonts w:ascii="Cambria" w:hAnsi="Cambria"/>
          <w:b/>
          <w:bCs/>
          <w:sz w:val="28"/>
          <w:szCs w:val="28"/>
        </w:rPr>
      </w:pPr>
      <w:bookmarkStart w:id="2" w:name="_Toc19539435"/>
      <w:r>
        <w:rPr>
          <w:rFonts w:ascii="Cambria" w:hAnsi="Cambria"/>
          <w:b/>
          <w:bCs/>
          <w:sz w:val="28"/>
          <w:szCs w:val="28"/>
        </w:rPr>
        <w:lastRenderedPageBreak/>
        <w:t>Email to Department Reviewer/Approver</w:t>
      </w:r>
      <w:bookmarkEnd w:id="2"/>
    </w:p>
    <w:p w14:paraId="6D20397E" w14:textId="3E42526B" w:rsidR="00427ED2" w:rsidRDefault="005F1338" w:rsidP="00AE4346">
      <w:r>
        <w:t xml:space="preserve">All department reviewers and/or approvers will be sent an email for </w:t>
      </w:r>
      <w:r w:rsidR="00EC22F4">
        <w:t>hospital areas/</w:t>
      </w:r>
      <w:r>
        <w:t xml:space="preserve">departments </w:t>
      </w:r>
      <w:r w:rsidR="00EC22F4">
        <w:t>identified on the application for administrative review as needed for the study. The review team will enter a comment relevant to each department on what will be done in that area/department. The department reviewer/approver will click on the link to the BSLMC Administrative Application System and login with their assigned ECA.</w:t>
      </w:r>
    </w:p>
    <w:p w14:paraId="3EE1AE2B" w14:textId="795AFCF3" w:rsidR="00EC22F4" w:rsidRDefault="00EC22F4" w:rsidP="00AE4346">
      <w:r>
        <w:rPr>
          <w:noProof/>
        </w:rPr>
        <w:drawing>
          <wp:inline distT="0" distB="0" distL="0" distR="0" wp14:anchorId="32A6EAB8" wp14:editId="2403C78C">
            <wp:extent cx="6400800" cy="6116320"/>
            <wp:effectExtent l="38100" t="38100" r="38100" b="3683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00800" cy="6116320"/>
                    </a:xfrm>
                    <a:prstGeom prst="rect">
                      <a:avLst/>
                    </a:prstGeom>
                    <a:ln w="28575">
                      <a:solidFill>
                        <a:schemeClr val="accent1">
                          <a:lumMod val="50000"/>
                        </a:schemeClr>
                      </a:solidFill>
                    </a:ln>
                  </pic:spPr>
                </pic:pic>
              </a:graphicData>
            </a:graphic>
          </wp:inline>
        </w:drawing>
      </w:r>
    </w:p>
    <w:p w14:paraId="36128EB0" w14:textId="77777777" w:rsidR="00EC22F4" w:rsidRDefault="00EC22F4">
      <w:pPr>
        <w:rPr>
          <w:rFonts w:ascii="Cambria" w:eastAsiaTheme="majorEastAsia" w:hAnsi="Cambria" w:cstheme="majorBidi"/>
          <w:b/>
          <w:bCs/>
          <w:color w:val="2E74B5" w:themeColor="accent1" w:themeShade="BF"/>
          <w:sz w:val="28"/>
          <w:szCs w:val="28"/>
        </w:rPr>
      </w:pPr>
      <w:r>
        <w:rPr>
          <w:rFonts w:ascii="Cambria" w:hAnsi="Cambria"/>
          <w:b/>
          <w:bCs/>
          <w:sz w:val="28"/>
          <w:szCs w:val="28"/>
        </w:rPr>
        <w:br w:type="page"/>
      </w:r>
    </w:p>
    <w:p w14:paraId="418B82EA" w14:textId="7B3186F0" w:rsidR="005F1338" w:rsidRPr="00AE4346" w:rsidRDefault="005F1338" w:rsidP="005F1338">
      <w:pPr>
        <w:pStyle w:val="Heading1"/>
        <w:spacing w:before="480" w:line="276" w:lineRule="auto"/>
        <w:rPr>
          <w:rFonts w:ascii="Cambria" w:hAnsi="Cambria"/>
          <w:b/>
          <w:bCs/>
          <w:sz w:val="28"/>
          <w:szCs w:val="28"/>
        </w:rPr>
      </w:pPr>
      <w:bookmarkStart w:id="3" w:name="_Toc19539436"/>
      <w:r w:rsidRPr="00AE4346">
        <w:rPr>
          <w:rFonts w:ascii="Cambria" w:hAnsi="Cambria"/>
          <w:b/>
          <w:bCs/>
          <w:sz w:val="28"/>
          <w:szCs w:val="28"/>
        </w:rPr>
        <w:lastRenderedPageBreak/>
        <w:t xml:space="preserve">Logging into </w:t>
      </w:r>
      <w:r>
        <w:rPr>
          <w:rFonts w:ascii="Cambria" w:hAnsi="Cambria"/>
          <w:b/>
          <w:bCs/>
          <w:sz w:val="28"/>
          <w:szCs w:val="28"/>
        </w:rPr>
        <w:t>BSLMC Administrative Application</w:t>
      </w:r>
      <w:bookmarkEnd w:id="3"/>
    </w:p>
    <w:p w14:paraId="4CB9F707" w14:textId="77777777" w:rsidR="005F1338" w:rsidRDefault="005F1338" w:rsidP="00AE4346"/>
    <w:p w14:paraId="38B06589" w14:textId="77777777" w:rsidR="00B412FC" w:rsidRDefault="00B412FC" w:rsidP="00B412FC">
      <w:r>
        <w:t>Log in using your username and password. If you do not have a Baylor ECA, you can submit a request from BCM IT service portal (</w:t>
      </w:r>
      <w:hyperlink r:id="rId13" w:history="1">
        <w:r>
          <w:rPr>
            <w:rStyle w:val="Hyperlink"/>
          </w:rPr>
          <w:t>https://sso.bcm.edu</w:t>
        </w:r>
      </w:hyperlink>
      <w:r>
        <w:rPr>
          <w:color w:val="000000"/>
        </w:rPr>
        <w:t>)</w:t>
      </w:r>
      <w:r>
        <w:t xml:space="preserve"> by entering a ticket.</w:t>
      </w:r>
    </w:p>
    <w:p w14:paraId="28DD0189" w14:textId="360742AD" w:rsidR="00217F38" w:rsidRDefault="004C69DA" w:rsidP="00217F38">
      <w:pPr>
        <w:ind w:left="360"/>
        <w:jc w:val="center"/>
        <w:rPr>
          <w:sz w:val="32"/>
          <w:szCs w:val="32"/>
        </w:rPr>
      </w:pPr>
      <w:r>
        <w:rPr>
          <w:noProof/>
        </w:rPr>
        <w:drawing>
          <wp:inline distT="0" distB="0" distL="0" distR="0" wp14:anchorId="5A829F76" wp14:editId="602C53B9">
            <wp:extent cx="6089386" cy="2130077"/>
            <wp:effectExtent l="38100" t="38100" r="45085" b="419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4894" cy="2142498"/>
                    </a:xfrm>
                    <a:prstGeom prst="rect">
                      <a:avLst/>
                    </a:prstGeom>
                    <a:ln w="28575">
                      <a:solidFill>
                        <a:schemeClr val="accent1">
                          <a:lumMod val="50000"/>
                        </a:schemeClr>
                      </a:solidFill>
                    </a:ln>
                  </pic:spPr>
                </pic:pic>
              </a:graphicData>
            </a:graphic>
          </wp:inline>
        </w:drawing>
      </w:r>
    </w:p>
    <w:p w14:paraId="1BB403F6" w14:textId="4DED05A6" w:rsidR="00427ED2" w:rsidRPr="00427ED2" w:rsidRDefault="00427ED2" w:rsidP="008F467B">
      <w:pPr>
        <w:pStyle w:val="Heading1"/>
        <w:spacing w:before="480" w:line="276" w:lineRule="auto"/>
        <w:rPr>
          <w:rFonts w:ascii="Cambria" w:hAnsi="Cambria"/>
          <w:b/>
          <w:bCs/>
          <w:sz w:val="28"/>
          <w:szCs w:val="28"/>
        </w:rPr>
      </w:pPr>
      <w:bookmarkStart w:id="4" w:name="_Toc19539437"/>
      <w:r w:rsidRPr="00427ED2">
        <w:rPr>
          <w:rFonts w:ascii="Cambria" w:hAnsi="Cambria"/>
          <w:b/>
          <w:bCs/>
          <w:sz w:val="28"/>
          <w:szCs w:val="28"/>
        </w:rPr>
        <w:t>Basic Layout and Navigation</w:t>
      </w:r>
      <w:bookmarkEnd w:id="4"/>
    </w:p>
    <w:p w14:paraId="6408C177" w14:textId="169BB5CF" w:rsidR="00427ED2" w:rsidRDefault="00427ED2" w:rsidP="00427ED2">
      <w:r>
        <w:t>Home – takes you to the Welcome Screen.</w:t>
      </w:r>
    </w:p>
    <w:p w14:paraId="6E9A71BB" w14:textId="38333B8C" w:rsidR="00561289" w:rsidRDefault="00561289" w:rsidP="00427ED2">
      <w:r>
        <w:rPr>
          <w:noProof/>
        </w:rPr>
        <w:drawing>
          <wp:inline distT="0" distB="0" distL="0" distR="0" wp14:anchorId="4C45ACAE" wp14:editId="6E0FA844">
            <wp:extent cx="6400800" cy="677312"/>
            <wp:effectExtent l="38100" t="38100" r="38100" b="46990"/>
            <wp:docPr id="15" name="Picture 15" descr="C:\Users\aresquiv\AppData\Local\Temp\SNAGHTML46ffebf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esquiv\AppData\Local\Temp\SNAGHTML46ffebf8.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0800" cy="677312"/>
                    </a:xfrm>
                    <a:prstGeom prst="rect">
                      <a:avLst/>
                    </a:prstGeom>
                    <a:noFill/>
                    <a:ln w="28575">
                      <a:solidFill>
                        <a:schemeClr val="accent1">
                          <a:lumMod val="50000"/>
                        </a:schemeClr>
                      </a:solidFill>
                    </a:ln>
                  </pic:spPr>
                </pic:pic>
              </a:graphicData>
            </a:graphic>
          </wp:inline>
        </w:drawing>
      </w:r>
    </w:p>
    <w:p w14:paraId="208046FF" w14:textId="104F01C0" w:rsidR="00561289" w:rsidRDefault="00561289" w:rsidP="00427ED2">
      <w:r>
        <w:t>Help – pop-up screen with contact information.</w:t>
      </w:r>
    </w:p>
    <w:p w14:paraId="4202CC30" w14:textId="3C016CFF" w:rsidR="00561289" w:rsidRDefault="00561289" w:rsidP="00427ED2">
      <w:r>
        <w:rPr>
          <w:noProof/>
        </w:rPr>
        <w:drawing>
          <wp:inline distT="0" distB="0" distL="0" distR="0" wp14:anchorId="4423978D" wp14:editId="01593EF1">
            <wp:extent cx="6400800" cy="705883"/>
            <wp:effectExtent l="38100" t="38100" r="38100" b="37465"/>
            <wp:docPr id="16" name="Picture 16" descr="C:\Users\aresquiv\AppData\Local\Temp\SNAGHTML4702517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esquiv\AppData\Local\Temp\SNAGHTML4702517e.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00800" cy="705883"/>
                    </a:xfrm>
                    <a:prstGeom prst="rect">
                      <a:avLst/>
                    </a:prstGeom>
                    <a:noFill/>
                    <a:ln w="28575">
                      <a:solidFill>
                        <a:schemeClr val="accent1">
                          <a:lumMod val="50000"/>
                        </a:schemeClr>
                      </a:solidFill>
                    </a:ln>
                  </pic:spPr>
                </pic:pic>
              </a:graphicData>
            </a:graphic>
          </wp:inline>
        </w:drawing>
      </w:r>
    </w:p>
    <w:p w14:paraId="05780C56" w14:textId="77777777" w:rsidR="00AD0A90" w:rsidRDefault="00AD0A90" w:rsidP="00AD0A90">
      <w:r>
        <w:t>Logout – logs out of system, user name and password are required to re-enter system.</w:t>
      </w:r>
    </w:p>
    <w:p w14:paraId="20CC5036" w14:textId="3F73FCC1" w:rsidR="00561289" w:rsidRDefault="00AD0A90" w:rsidP="00427ED2">
      <w:r>
        <w:rPr>
          <w:noProof/>
        </w:rPr>
        <w:drawing>
          <wp:inline distT="0" distB="0" distL="0" distR="0" wp14:anchorId="444AA117" wp14:editId="50B157DB">
            <wp:extent cx="6400800" cy="705883"/>
            <wp:effectExtent l="38100" t="38100" r="38100" b="37465"/>
            <wp:docPr id="17" name="Picture 17" descr="C:\Users\aresquiv\AppData\Local\Temp\SNAGHTML47036d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esquiv\AppData\Local\Temp\SNAGHTML47036d3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400800" cy="705883"/>
                    </a:xfrm>
                    <a:prstGeom prst="rect">
                      <a:avLst/>
                    </a:prstGeom>
                    <a:noFill/>
                    <a:ln w="28575">
                      <a:solidFill>
                        <a:schemeClr val="accent1">
                          <a:lumMod val="50000"/>
                        </a:schemeClr>
                      </a:solidFill>
                    </a:ln>
                  </pic:spPr>
                </pic:pic>
              </a:graphicData>
            </a:graphic>
          </wp:inline>
        </w:drawing>
      </w:r>
    </w:p>
    <w:p w14:paraId="188B2BC8" w14:textId="533CA899" w:rsidR="009147FC" w:rsidRDefault="009147FC" w:rsidP="009147FC">
      <w:r>
        <w:t xml:space="preserve">Menu – allows </w:t>
      </w:r>
      <w:r w:rsidR="00CA3E5E">
        <w:t>reviewer/approver to see any other applications pending approval and applications that have been completed</w:t>
      </w:r>
      <w:r>
        <w:t>.</w:t>
      </w:r>
    </w:p>
    <w:p w14:paraId="5FB44AC2" w14:textId="676E1996" w:rsidR="009147FC" w:rsidRDefault="00CA3E5E" w:rsidP="00427ED2">
      <w:r>
        <w:rPr>
          <w:noProof/>
        </w:rPr>
        <w:lastRenderedPageBreak/>
        <w:drawing>
          <wp:inline distT="0" distB="0" distL="0" distR="0" wp14:anchorId="2911C408" wp14:editId="12264AA8">
            <wp:extent cx="2533650" cy="1609725"/>
            <wp:effectExtent l="38100" t="38100" r="38100" b="47625"/>
            <wp:docPr id="33" name="Picture 33" descr="C:\Users\aresquiv\AppData\Local\Temp\SNAGHTML114f7a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esquiv\AppData\Local\Temp\SNAGHTML114f7a3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33650" cy="1609725"/>
                    </a:xfrm>
                    <a:prstGeom prst="rect">
                      <a:avLst/>
                    </a:prstGeom>
                    <a:noFill/>
                    <a:ln w="28575">
                      <a:solidFill>
                        <a:schemeClr val="accent1">
                          <a:lumMod val="50000"/>
                        </a:schemeClr>
                      </a:solidFill>
                    </a:ln>
                  </pic:spPr>
                </pic:pic>
              </a:graphicData>
            </a:graphic>
          </wp:inline>
        </w:drawing>
      </w:r>
    </w:p>
    <w:p w14:paraId="05D88B81" w14:textId="6A5CF1EF" w:rsidR="00D606FB" w:rsidRDefault="00D606FB" w:rsidP="00427ED2">
      <w:r>
        <w:rPr>
          <w:noProof/>
        </w:rPr>
        <w:drawing>
          <wp:inline distT="0" distB="0" distL="0" distR="0" wp14:anchorId="369EB6A6" wp14:editId="1EF89E85">
            <wp:extent cx="6400800" cy="890639"/>
            <wp:effectExtent l="38100" t="38100" r="38100" b="43180"/>
            <wp:docPr id="42" name="Picture 42" descr="C:\Users\aresquiv\AppData\Local\Temp\SNAGHTML117df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esquiv\AppData\Local\Temp\SNAGHTML117df5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90639"/>
                    </a:xfrm>
                    <a:prstGeom prst="rect">
                      <a:avLst/>
                    </a:prstGeom>
                    <a:noFill/>
                    <a:ln w="28575">
                      <a:solidFill>
                        <a:schemeClr val="accent1">
                          <a:lumMod val="50000"/>
                        </a:schemeClr>
                      </a:solidFill>
                    </a:ln>
                  </pic:spPr>
                </pic:pic>
              </a:graphicData>
            </a:graphic>
          </wp:inline>
        </w:drawing>
      </w:r>
    </w:p>
    <w:p w14:paraId="2F840E94" w14:textId="73340CC5" w:rsidR="00CA3E5E" w:rsidRDefault="00CA3E5E" w:rsidP="00427ED2">
      <w:r>
        <w:rPr>
          <w:noProof/>
        </w:rPr>
        <w:drawing>
          <wp:inline distT="0" distB="0" distL="0" distR="0" wp14:anchorId="74BB13C2" wp14:editId="0AE73B48">
            <wp:extent cx="6400800" cy="1397944"/>
            <wp:effectExtent l="38100" t="38100" r="38100" b="31115"/>
            <wp:docPr id="40" name="Picture 40" descr="C:\Users\aresquiv\AppData\Local\Temp\SNAGHTML1151d1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esquiv\AppData\Local\Temp\SNAGHTML1151d14d.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00800" cy="1397944"/>
                    </a:xfrm>
                    <a:prstGeom prst="rect">
                      <a:avLst/>
                    </a:prstGeom>
                    <a:noFill/>
                    <a:ln w="28575">
                      <a:solidFill>
                        <a:schemeClr val="accent1">
                          <a:lumMod val="50000"/>
                        </a:schemeClr>
                      </a:solidFill>
                    </a:ln>
                  </pic:spPr>
                </pic:pic>
              </a:graphicData>
            </a:graphic>
          </wp:inline>
        </w:drawing>
      </w:r>
    </w:p>
    <w:p w14:paraId="6E955309" w14:textId="77777777" w:rsidR="00CA3E5E" w:rsidRDefault="00CA3E5E" w:rsidP="00427ED2"/>
    <w:p w14:paraId="4CD9819C" w14:textId="6E53BABD" w:rsidR="009147FC" w:rsidRDefault="009147FC" w:rsidP="009147FC">
      <w:r>
        <w:t>Do not use the brow</w:t>
      </w:r>
      <w:r w:rsidR="00400209">
        <w:t>ser’s back button. Use the menu</w:t>
      </w:r>
      <w:r>
        <w:t xml:space="preserve"> in the system to navig</w:t>
      </w:r>
      <w:r w:rsidR="00400209">
        <w:t>ate between pending and completed approvals</w:t>
      </w:r>
      <w:r>
        <w:t>.</w:t>
      </w:r>
    </w:p>
    <w:p w14:paraId="1F6ABBBE" w14:textId="24E93CD1" w:rsidR="008F467B" w:rsidRDefault="009147FC" w:rsidP="00427ED2">
      <w:r>
        <w:rPr>
          <w:noProof/>
        </w:rPr>
        <w:drawing>
          <wp:inline distT="0" distB="0" distL="0" distR="0" wp14:anchorId="22CEE1F6" wp14:editId="282970F2">
            <wp:extent cx="3704762" cy="1152381"/>
            <wp:effectExtent l="38100" t="38100" r="29210" b="292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704762" cy="1152381"/>
                    </a:xfrm>
                    <a:prstGeom prst="rect">
                      <a:avLst/>
                    </a:prstGeom>
                    <a:ln w="28575">
                      <a:solidFill>
                        <a:schemeClr val="accent1">
                          <a:lumMod val="50000"/>
                        </a:schemeClr>
                      </a:solidFill>
                    </a:ln>
                  </pic:spPr>
                </pic:pic>
              </a:graphicData>
            </a:graphic>
          </wp:inline>
        </w:drawing>
      </w:r>
    </w:p>
    <w:p w14:paraId="2733CE5C" w14:textId="7082BD26" w:rsidR="009147FC" w:rsidRDefault="009147FC" w:rsidP="00427ED2"/>
    <w:p w14:paraId="629F42CE" w14:textId="63DE7D4F" w:rsidR="00D606FB" w:rsidRDefault="00D606FB">
      <w:r>
        <w:br w:type="page"/>
      </w:r>
    </w:p>
    <w:p w14:paraId="4774BB90" w14:textId="634D3A2A" w:rsidR="00D606FB" w:rsidRPr="00427ED2" w:rsidRDefault="00D606FB" w:rsidP="00D606FB">
      <w:pPr>
        <w:pStyle w:val="Heading1"/>
        <w:spacing w:before="480" w:line="276" w:lineRule="auto"/>
        <w:rPr>
          <w:rFonts w:ascii="Cambria" w:hAnsi="Cambria"/>
          <w:b/>
          <w:bCs/>
          <w:sz w:val="28"/>
          <w:szCs w:val="28"/>
        </w:rPr>
      </w:pPr>
      <w:bookmarkStart w:id="5" w:name="_Toc19539438"/>
      <w:r>
        <w:rPr>
          <w:rFonts w:ascii="Cambria" w:hAnsi="Cambria"/>
          <w:b/>
          <w:bCs/>
          <w:sz w:val="28"/>
          <w:szCs w:val="28"/>
        </w:rPr>
        <w:lastRenderedPageBreak/>
        <w:t>Department Review and Approval/Deferral</w:t>
      </w:r>
      <w:bookmarkEnd w:id="5"/>
    </w:p>
    <w:p w14:paraId="697A3CC1" w14:textId="796E7B7C" w:rsidR="00D606FB" w:rsidRDefault="00D606FB" w:rsidP="00427ED2">
      <w:r>
        <w:t>Once the reviewer/approver logs into the system, the following screen will come up. Here you can use the menu to go to pending requests to see previously completed requests. You can also click on the Back to Pending Approval List to select the study you want to review if there are multiple. To see the full application for administrative review and study documents that are attached (i.e., protocol, consent, schedule of events, etc.), click on View Application. The comments box gives you information entered by the review team that may be specific to your department/area. To complete the process, you can enter a reply comment to the review team</w:t>
      </w:r>
      <w:r w:rsidR="00A656F0">
        <w:t xml:space="preserve"> or comment to be shared with the study team and either click Approve or Defer. </w:t>
      </w:r>
    </w:p>
    <w:p w14:paraId="1B6A0F0B" w14:textId="3D750A41" w:rsidR="00D606FB" w:rsidRDefault="00D606FB" w:rsidP="00427ED2">
      <w:r>
        <w:rPr>
          <w:noProof/>
        </w:rPr>
        <w:drawing>
          <wp:inline distT="0" distB="0" distL="0" distR="0" wp14:anchorId="4D220890" wp14:editId="0D760C5B">
            <wp:extent cx="6400800" cy="2967355"/>
            <wp:effectExtent l="38100" t="38100" r="38100" b="4254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6400800" cy="2967355"/>
                    </a:xfrm>
                    <a:prstGeom prst="rect">
                      <a:avLst/>
                    </a:prstGeom>
                    <a:ln w="28575">
                      <a:solidFill>
                        <a:schemeClr val="accent1">
                          <a:lumMod val="50000"/>
                        </a:schemeClr>
                      </a:solidFill>
                    </a:ln>
                  </pic:spPr>
                </pic:pic>
              </a:graphicData>
            </a:graphic>
          </wp:inline>
        </w:drawing>
      </w:r>
    </w:p>
    <w:p w14:paraId="4E17297E" w14:textId="327DE1CB" w:rsidR="00A920AE" w:rsidRDefault="00D606FB" w:rsidP="00427ED2">
      <w:r>
        <w:rPr>
          <w:noProof/>
        </w:rPr>
        <w:drawing>
          <wp:inline distT="0" distB="0" distL="0" distR="0" wp14:anchorId="7CCA6F19" wp14:editId="4A1305B8">
            <wp:extent cx="6400800" cy="890270"/>
            <wp:effectExtent l="38100" t="38100" r="38100" b="43180"/>
            <wp:docPr id="43" name="Picture 43" descr="C:\Users\aresquiv\AppData\Local\Temp\SNAGHTML117df5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resquiv\AppData\Local\Temp\SNAGHTML117df513.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00800" cy="890270"/>
                    </a:xfrm>
                    <a:prstGeom prst="rect">
                      <a:avLst/>
                    </a:prstGeom>
                    <a:noFill/>
                    <a:ln w="28575">
                      <a:solidFill>
                        <a:schemeClr val="accent1">
                          <a:lumMod val="50000"/>
                        </a:schemeClr>
                      </a:solidFill>
                    </a:ln>
                  </pic:spPr>
                </pic:pic>
              </a:graphicData>
            </a:graphic>
          </wp:inline>
        </w:drawing>
      </w:r>
    </w:p>
    <w:p w14:paraId="7F69A794" w14:textId="5329134B" w:rsidR="00A920AE" w:rsidRDefault="00A920AE" w:rsidP="00427ED2"/>
    <w:p w14:paraId="69D6032E" w14:textId="6D01A0C6" w:rsidR="00A920AE" w:rsidRDefault="00A920AE" w:rsidP="00427ED2">
      <w:r>
        <w:t xml:space="preserve">Once you click on Approve or Defer, an email is sent back to the review team informing </w:t>
      </w:r>
      <w:r w:rsidR="00E406D2">
        <w:t xml:space="preserve">them </w:t>
      </w:r>
      <w:r>
        <w:t>of the department approval or deferral.</w:t>
      </w:r>
    </w:p>
    <w:p w14:paraId="329C59B4" w14:textId="4313ECCC" w:rsidR="002B7BDF" w:rsidRDefault="002B7BDF" w:rsidP="00427ED2"/>
    <w:p w14:paraId="75D48C80" w14:textId="77777777" w:rsidR="002B7BDF" w:rsidRDefault="002B7BDF" w:rsidP="002B7BDF">
      <w:r>
        <w:t xml:space="preserve">You may contact the Office of Clinical Research for any questions at </w:t>
      </w:r>
      <w:hyperlink r:id="rId23" w:history="1">
        <w:r w:rsidRPr="00F62FCF">
          <w:rPr>
            <w:rStyle w:val="Hyperlink"/>
          </w:rPr>
          <w:t>BSLMC_research@bcm.edu</w:t>
        </w:r>
      </w:hyperlink>
      <w:r>
        <w:t xml:space="preserve"> or 713-798-6024.</w:t>
      </w:r>
    </w:p>
    <w:p w14:paraId="0828BDCD" w14:textId="77777777" w:rsidR="008212C6" w:rsidRDefault="008212C6">
      <w:pPr>
        <w:rPr>
          <w:rFonts w:ascii="Cambria" w:eastAsiaTheme="majorEastAsia" w:hAnsi="Cambria" w:cstheme="majorBidi"/>
          <w:b/>
          <w:bCs/>
          <w:color w:val="2E74B5" w:themeColor="accent1" w:themeShade="BF"/>
          <w:sz w:val="28"/>
          <w:szCs w:val="28"/>
        </w:rPr>
      </w:pPr>
      <w:bookmarkStart w:id="6" w:name="_Toc19537897"/>
      <w:r>
        <w:rPr>
          <w:rFonts w:ascii="Cambria" w:hAnsi="Cambria"/>
          <w:b/>
          <w:bCs/>
          <w:sz w:val="28"/>
          <w:szCs w:val="28"/>
        </w:rPr>
        <w:br w:type="page"/>
      </w:r>
    </w:p>
    <w:p w14:paraId="28D979B5" w14:textId="5B1322BE" w:rsidR="008212C6" w:rsidRDefault="008212C6" w:rsidP="008212C6">
      <w:pPr>
        <w:pStyle w:val="Heading1"/>
        <w:spacing w:before="480" w:line="276" w:lineRule="auto"/>
        <w:rPr>
          <w:rFonts w:ascii="Cambria" w:hAnsi="Cambria"/>
          <w:b/>
          <w:bCs/>
          <w:sz w:val="28"/>
          <w:szCs w:val="28"/>
        </w:rPr>
      </w:pPr>
      <w:bookmarkStart w:id="7" w:name="_Toc19539439"/>
      <w:r>
        <w:rPr>
          <w:rFonts w:ascii="Cambria" w:hAnsi="Cambria"/>
          <w:b/>
          <w:bCs/>
          <w:sz w:val="28"/>
          <w:szCs w:val="28"/>
        </w:rPr>
        <w:lastRenderedPageBreak/>
        <w:t>Institutional Approval or Deferral</w:t>
      </w:r>
      <w:bookmarkEnd w:id="6"/>
      <w:bookmarkEnd w:id="7"/>
      <w:r>
        <w:rPr>
          <w:rFonts w:ascii="Cambria" w:hAnsi="Cambria"/>
          <w:b/>
          <w:bCs/>
          <w:sz w:val="28"/>
          <w:szCs w:val="28"/>
        </w:rPr>
        <w:t xml:space="preserve"> </w:t>
      </w:r>
    </w:p>
    <w:p w14:paraId="198806C6" w14:textId="546E72CE" w:rsidR="008212C6" w:rsidRDefault="008212C6" w:rsidP="008212C6">
      <w:r>
        <w:t>If the study is approved, an email is sent to the department/area reviewer/approver informing them of the approval.</w:t>
      </w:r>
    </w:p>
    <w:p w14:paraId="1C8BDF8F" w14:textId="77777777" w:rsidR="008212C6" w:rsidRDefault="008212C6" w:rsidP="008212C6">
      <w:r>
        <w:rPr>
          <w:noProof/>
        </w:rPr>
        <w:drawing>
          <wp:inline distT="0" distB="0" distL="0" distR="0" wp14:anchorId="3D0C3A9B" wp14:editId="193114FE">
            <wp:extent cx="6400800" cy="4398010"/>
            <wp:effectExtent l="38100" t="38100" r="38100" b="406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6400800" cy="4398010"/>
                    </a:xfrm>
                    <a:prstGeom prst="rect">
                      <a:avLst/>
                    </a:prstGeom>
                    <a:ln w="28575">
                      <a:solidFill>
                        <a:schemeClr val="accent1">
                          <a:lumMod val="50000"/>
                        </a:schemeClr>
                      </a:solidFill>
                    </a:ln>
                  </pic:spPr>
                </pic:pic>
              </a:graphicData>
            </a:graphic>
          </wp:inline>
        </w:drawing>
      </w:r>
    </w:p>
    <w:p w14:paraId="3CF89017" w14:textId="77777777" w:rsidR="008212C6" w:rsidRDefault="008212C6">
      <w:r>
        <w:br w:type="page"/>
      </w:r>
    </w:p>
    <w:p w14:paraId="4E36D235" w14:textId="3E00BA51" w:rsidR="008212C6" w:rsidRDefault="008212C6" w:rsidP="008212C6">
      <w:r>
        <w:lastRenderedPageBreak/>
        <w:t>If study is deferred or not approved, then an email is sent the department/area reviewer/approver informing them of the deferral.</w:t>
      </w:r>
    </w:p>
    <w:p w14:paraId="1AE52332" w14:textId="77777777" w:rsidR="008212C6" w:rsidRDefault="008212C6" w:rsidP="008212C6">
      <w:r>
        <w:rPr>
          <w:noProof/>
        </w:rPr>
        <w:drawing>
          <wp:inline distT="0" distB="0" distL="0" distR="0" wp14:anchorId="63840423" wp14:editId="5A9F9DC9">
            <wp:extent cx="6400800" cy="4337050"/>
            <wp:effectExtent l="38100" t="38100" r="38100" b="444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00800" cy="4337050"/>
                    </a:xfrm>
                    <a:prstGeom prst="rect">
                      <a:avLst/>
                    </a:prstGeom>
                    <a:ln w="28575">
                      <a:solidFill>
                        <a:schemeClr val="accent1">
                          <a:lumMod val="50000"/>
                        </a:schemeClr>
                      </a:solidFill>
                    </a:ln>
                  </pic:spPr>
                </pic:pic>
              </a:graphicData>
            </a:graphic>
          </wp:inline>
        </w:drawing>
      </w:r>
    </w:p>
    <w:p w14:paraId="6E703056" w14:textId="77777777" w:rsidR="002B7BDF" w:rsidRDefault="002B7BDF" w:rsidP="00427ED2"/>
    <w:sectPr w:rsidR="002B7BDF" w:rsidSect="005D5482">
      <w:footerReference w:type="default" r:id="rId26"/>
      <w:pgSz w:w="12240" w:h="15840" w:code="1"/>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25E71" w14:textId="77777777" w:rsidR="00911D09" w:rsidRDefault="00911D09" w:rsidP="00F86233">
      <w:pPr>
        <w:spacing w:after="0" w:line="240" w:lineRule="auto"/>
      </w:pPr>
      <w:r>
        <w:separator/>
      </w:r>
    </w:p>
  </w:endnote>
  <w:endnote w:type="continuationSeparator" w:id="0">
    <w:p w14:paraId="5E95B81E" w14:textId="77777777" w:rsidR="00911D09" w:rsidRDefault="00911D09" w:rsidP="00F86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4518680"/>
      <w:docPartObj>
        <w:docPartGallery w:val="Page Numbers (Bottom of Page)"/>
        <w:docPartUnique/>
      </w:docPartObj>
    </w:sdtPr>
    <w:sdtEndPr>
      <w:rPr>
        <w:noProof/>
      </w:rPr>
    </w:sdtEndPr>
    <w:sdtContent>
      <w:p w14:paraId="13F84153" w14:textId="7B9FC8F1" w:rsidR="00F86233" w:rsidRDefault="00F86233" w:rsidP="00F86233">
        <w:pPr>
          <w:pStyle w:val="Footer"/>
          <w:jc w:val="right"/>
        </w:pPr>
        <w:r>
          <w:fldChar w:fldCharType="begin"/>
        </w:r>
        <w:r>
          <w:instrText xml:space="preserve"> PAGE   \* MERGEFORMAT </w:instrText>
        </w:r>
        <w:r>
          <w:fldChar w:fldCharType="separate"/>
        </w:r>
        <w:r w:rsidR="00AC6C9F">
          <w:rPr>
            <w:noProof/>
          </w:rPr>
          <w:t>9</w:t>
        </w:r>
        <w:r>
          <w:rPr>
            <w:noProof/>
          </w:rPr>
          <w:fldChar w:fldCharType="end"/>
        </w:r>
      </w:p>
    </w:sdtContent>
  </w:sdt>
  <w:p w14:paraId="35EEB6F7" w14:textId="77777777" w:rsidR="00F86233" w:rsidRDefault="00F86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D84039" w14:textId="77777777" w:rsidR="00911D09" w:rsidRDefault="00911D09" w:rsidP="00F86233">
      <w:pPr>
        <w:spacing w:after="0" w:line="240" w:lineRule="auto"/>
      </w:pPr>
      <w:r>
        <w:separator/>
      </w:r>
    </w:p>
  </w:footnote>
  <w:footnote w:type="continuationSeparator" w:id="0">
    <w:p w14:paraId="18CC976D" w14:textId="77777777" w:rsidR="00911D09" w:rsidRDefault="00911D09" w:rsidP="00F862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913C2"/>
    <w:multiLevelType w:val="hybridMultilevel"/>
    <w:tmpl w:val="124C32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136D63"/>
    <w:multiLevelType w:val="hybridMultilevel"/>
    <w:tmpl w:val="5630FF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8DB"/>
    <w:rsid w:val="00007EB1"/>
    <w:rsid w:val="0002328B"/>
    <w:rsid w:val="00036CFC"/>
    <w:rsid w:val="00053283"/>
    <w:rsid w:val="000A3392"/>
    <w:rsid w:val="000B0919"/>
    <w:rsid w:val="000C2839"/>
    <w:rsid w:val="000C5157"/>
    <w:rsid w:val="000C5C0D"/>
    <w:rsid w:val="000F29A7"/>
    <w:rsid w:val="000F2C8C"/>
    <w:rsid w:val="000F7D63"/>
    <w:rsid w:val="001134D7"/>
    <w:rsid w:val="00117195"/>
    <w:rsid w:val="001373D3"/>
    <w:rsid w:val="00160393"/>
    <w:rsid w:val="00185332"/>
    <w:rsid w:val="001D4A20"/>
    <w:rsid w:val="001F2742"/>
    <w:rsid w:val="001F5553"/>
    <w:rsid w:val="00211B7D"/>
    <w:rsid w:val="00217F38"/>
    <w:rsid w:val="002810BE"/>
    <w:rsid w:val="002838B3"/>
    <w:rsid w:val="002A3E08"/>
    <w:rsid w:val="002B7BDF"/>
    <w:rsid w:val="002C32E2"/>
    <w:rsid w:val="002D366B"/>
    <w:rsid w:val="002F01AB"/>
    <w:rsid w:val="003C270F"/>
    <w:rsid w:val="003E54FD"/>
    <w:rsid w:val="00400209"/>
    <w:rsid w:val="00427ED2"/>
    <w:rsid w:val="004570D1"/>
    <w:rsid w:val="00470315"/>
    <w:rsid w:val="0049307E"/>
    <w:rsid w:val="004C011B"/>
    <w:rsid w:val="004C69DA"/>
    <w:rsid w:val="005019BC"/>
    <w:rsid w:val="00517BEB"/>
    <w:rsid w:val="00535EB2"/>
    <w:rsid w:val="00561289"/>
    <w:rsid w:val="005A62DA"/>
    <w:rsid w:val="005B7F98"/>
    <w:rsid w:val="005D5482"/>
    <w:rsid w:val="005F0197"/>
    <w:rsid w:val="005F1338"/>
    <w:rsid w:val="005F625F"/>
    <w:rsid w:val="006119A9"/>
    <w:rsid w:val="006E58BC"/>
    <w:rsid w:val="006F71F6"/>
    <w:rsid w:val="00775B26"/>
    <w:rsid w:val="007E4BC2"/>
    <w:rsid w:val="008212C6"/>
    <w:rsid w:val="0082537F"/>
    <w:rsid w:val="008272C6"/>
    <w:rsid w:val="008427D6"/>
    <w:rsid w:val="008867CD"/>
    <w:rsid w:val="0089763B"/>
    <w:rsid w:val="008B64FA"/>
    <w:rsid w:val="008D4109"/>
    <w:rsid w:val="008E18D7"/>
    <w:rsid w:val="008F467B"/>
    <w:rsid w:val="00911D09"/>
    <w:rsid w:val="009147FC"/>
    <w:rsid w:val="00916D76"/>
    <w:rsid w:val="009338D4"/>
    <w:rsid w:val="00956D71"/>
    <w:rsid w:val="009D1F72"/>
    <w:rsid w:val="009E4A41"/>
    <w:rsid w:val="009F0136"/>
    <w:rsid w:val="00A02840"/>
    <w:rsid w:val="00A0749C"/>
    <w:rsid w:val="00A11891"/>
    <w:rsid w:val="00A16BC1"/>
    <w:rsid w:val="00A656F0"/>
    <w:rsid w:val="00A72DFD"/>
    <w:rsid w:val="00A81D42"/>
    <w:rsid w:val="00A864A5"/>
    <w:rsid w:val="00A920AE"/>
    <w:rsid w:val="00A9283F"/>
    <w:rsid w:val="00A96672"/>
    <w:rsid w:val="00AC6C9F"/>
    <w:rsid w:val="00AC74F5"/>
    <w:rsid w:val="00AD0A90"/>
    <w:rsid w:val="00AE4346"/>
    <w:rsid w:val="00B033A3"/>
    <w:rsid w:val="00B412FC"/>
    <w:rsid w:val="00B416DC"/>
    <w:rsid w:val="00B43A7B"/>
    <w:rsid w:val="00B869A3"/>
    <w:rsid w:val="00B925BC"/>
    <w:rsid w:val="00BB39EA"/>
    <w:rsid w:val="00BD037F"/>
    <w:rsid w:val="00BE78DB"/>
    <w:rsid w:val="00BF2F91"/>
    <w:rsid w:val="00C16BC9"/>
    <w:rsid w:val="00C70A3C"/>
    <w:rsid w:val="00C75EF8"/>
    <w:rsid w:val="00CA3E5E"/>
    <w:rsid w:val="00CC1C83"/>
    <w:rsid w:val="00CC336E"/>
    <w:rsid w:val="00D013EE"/>
    <w:rsid w:val="00D606FB"/>
    <w:rsid w:val="00D933BC"/>
    <w:rsid w:val="00DD06E5"/>
    <w:rsid w:val="00DE5303"/>
    <w:rsid w:val="00E406D2"/>
    <w:rsid w:val="00E85F7B"/>
    <w:rsid w:val="00EC22F4"/>
    <w:rsid w:val="00ED7C83"/>
    <w:rsid w:val="00F56129"/>
    <w:rsid w:val="00F5727C"/>
    <w:rsid w:val="00F86233"/>
    <w:rsid w:val="00FB6638"/>
    <w:rsid w:val="00FB777C"/>
    <w:rsid w:val="00FF0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3D28A"/>
  <w15:chartTrackingRefBased/>
  <w15:docId w15:val="{6C13CD66-3693-4068-BF34-81613ED42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434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A928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8DB"/>
    <w:pPr>
      <w:ind w:left="720"/>
      <w:contextualSpacing/>
    </w:pPr>
  </w:style>
  <w:style w:type="paragraph" w:styleId="Header">
    <w:name w:val="header"/>
    <w:basedOn w:val="Normal"/>
    <w:link w:val="HeaderChar"/>
    <w:uiPriority w:val="99"/>
    <w:unhideWhenUsed/>
    <w:rsid w:val="00F862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6233"/>
  </w:style>
  <w:style w:type="paragraph" w:styleId="Footer">
    <w:name w:val="footer"/>
    <w:basedOn w:val="Normal"/>
    <w:link w:val="FooterChar"/>
    <w:uiPriority w:val="99"/>
    <w:unhideWhenUsed/>
    <w:rsid w:val="00F862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6233"/>
  </w:style>
  <w:style w:type="character" w:customStyle="1" w:styleId="Heading1Char">
    <w:name w:val="Heading 1 Char"/>
    <w:basedOn w:val="DefaultParagraphFont"/>
    <w:link w:val="Heading1"/>
    <w:uiPriority w:val="9"/>
    <w:rsid w:val="00AE4346"/>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E4346"/>
    <w:pPr>
      <w:outlineLvl w:val="9"/>
    </w:pPr>
  </w:style>
  <w:style w:type="paragraph" w:styleId="TOC2">
    <w:name w:val="toc 2"/>
    <w:basedOn w:val="Normal"/>
    <w:next w:val="Normal"/>
    <w:autoRedefine/>
    <w:uiPriority w:val="39"/>
    <w:unhideWhenUsed/>
    <w:rsid w:val="00AE4346"/>
    <w:pPr>
      <w:spacing w:after="100"/>
      <w:ind w:left="220"/>
    </w:pPr>
    <w:rPr>
      <w:rFonts w:eastAsiaTheme="minorEastAsia" w:cs="Times New Roman"/>
    </w:rPr>
  </w:style>
  <w:style w:type="paragraph" w:styleId="TOC1">
    <w:name w:val="toc 1"/>
    <w:basedOn w:val="Normal"/>
    <w:next w:val="Normal"/>
    <w:autoRedefine/>
    <w:uiPriority w:val="39"/>
    <w:unhideWhenUsed/>
    <w:rsid w:val="00AE4346"/>
    <w:pPr>
      <w:spacing w:after="100"/>
    </w:pPr>
    <w:rPr>
      <w:rFonts w:eastAsiaTheme="minorEastAsia" w:cs="Times New Roman"/>
    </w:rPr>
  </w:style>
  <w:style w:type="paragraph" w:styleId="TOC3">
    <w:name w:val="toc 3"/>
    <w:basedOn w:val="Normal"/>
    <w:next w:val="Normal"/>
    <w:autoRedefine/>
    <w:uiPriority w:val="39"/>
    <w:unhideWhenUsed/>
    <w:rsid w:val="00AE4346"/>
    <w:pPr>
      <w:spacing w:after="100"/>
      <w:ind w:left="440"/>
    </w:pPr>
    <w:rPr>
      <w:rFonts w:eastAsiaTheme="minorEastAsia" w:cs="Times New Roman"/>
    </w:rPr>
  </w:style>
  <w:style w:type="character" w:styleId="Hyperlink">
    <w:name w:val="Hyperlink"/>
    <w:basedOn w:val="DefaultParagraphFont"/>
    <w:uiPriority w:val="99"/>
    <w:unhideWhenUsed/>
    <w:rsid w:val="00AE4346"/>
    <w:rPr>
      <w:color w:val="0563C1" w:themeColor="hyperlink"/>
      <w:u w:val="single"/>
    </w:rPr>
  </w:style>
  <w:style w:type="character" w:styleId="CommentReference">
    <w:name w:val="annotation reference"/>
    <w:basedOn w:val="DefaultParagraphFont"/>
    <w:uiPriority w:val="99"/>
    <w:semiHidden/>
    <w:unhideWhenUsed/>
    <w:rsid w:val="00AE4346"/>
    <w:rPr>
      <w:sz w:val="16"/>
      <w:szCs w:val="16"/>
    </w:rPr>
  </w:style>
  <w:style w:type="paragraph" w:styleId="CommentText">
    <w:name w:val="annotation text"/>
    <w:basedOn w:val="Normal"/>
    <w:link w:val="CommentTextChar"/>
    <w:uiPriority w:val="99"/>
    <w:semiHidden/>
    <w:unhideWhenUsed/>
    <w:rsid w:val="00AE4346"/>
    <w:pPr>
      <w:spacing w:line="240" w:lineRule="auto"/>
    </w:pPr>
    <w:rPr>
      <w:sz w:val="20"/>
      <w:szCs w:val="20"/>
    </w:rPr>
  </w:style>
  <w:style w:type="character" w:customStyle="1" w:styleId="CommentTextChar">
    <w:name w:val="Comment Text Char"/>
    <w:basedOn w:val="DefaultParagraphFont"/>
    <w:link w:val="CommentText"/>
    <w:uiPriority w:val="99"/>
    <w:semiHidden/>
    <w:rsid w:val="00AE4346"/>
    <w:rPr>
      <w:sz w:val="20"/>
      <w:szCs w:val="20"/>
    </w:rPr>
  </w:style>
  <w:style w:type="paragraph" w:styleId="CommentSubject">
    <w:name w:val="annotation subject"/>
    <w:basedOn w:val="CommentText"/>
    <w:next w:val="CommentText"/>
    <w:link w:val="CommentSubjectChar"/>
    <w:uiPriority w:val="99"/>
    <w:semiHidden/>
    <w:unhideWhenUsed/>
    <w:rsid w:val="00AE4346"/>
    <w:rPr>
      <w:b/>
      <w:bCs/>
    </w:rPr>
  </w:style>
  <w:style w:type="character" w:customStyle="1" w:styleId="CommentSubjectChar">
    <w:name w:val="Comment Subject Char"/>
    <w:basedOn w:val="CommentTextChar"/>
    <w:link w:val="CommentSubject"/>
    <w:uiPriority w:val="99"/>
    <w:semiHidden/>
    <w:rsid w:val="00AE4346"/>
    <w:rPr>
      <w:b/>
      <w:bCs/>
      <w:sz w:val="20"/>
      <w:szCs w:val="20"/>
    </w:rPr>
  </w:style>
  <w:style w:type="paragraph" w:styleId="BalloonText">
    <w:name w:val="Balloon Text"/>
    <w:basedOn w:val="Normal"/>
    <w:link w:val="BalloonTextChar"/>
    <w:uiPriority w:val="99"/>
    <w:semiHidden/>
    <w:unhideWhenUsed/>
    <w:rsid w:val="00AE43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4346"/>
    <w:rPr>
      <w:rFonts w:ascii="Segoe UI" w:hAnsi="Segoe UI" w:cs="Segoe UI"/>
      <w:sz w:val="18"/>
      <w:szCs w:val="18"/>
    </w:rPr>
  </w:style>
  <w:style w:type="character" w:customStyle="1" w:styleId="Heading3Char">
    <w:name w:val="Heading 3 Char"/>
    <w:basedOn w:val="DefaultParagraphFont"/>
    <w:link w:val="Heading3"/>
    <w:uiPriority w:val="9"/>
    <w:semiHidden/>
    <w:rsid w:val="00A9283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015294">
      <w:bodyDiv w:val="1"/>
      <w:marLeft w:val="0"/>
      <w:marRight w:val="0"/>
      <w:marTop w:val="0"/>
      <w:marBottom w:val="0"/>
      <w:divBdr>
        <w:top w:val="none" w:sz="0" w:space="0" w:color="auto"/>
        <w:left w:val="none" w:sz="0" w:space="0" w:color="auto"/>
        <w:bottom w:val="none" w:sz="0" w:space="0" w:color="auto"/>
        <w:right w:val="none" w:sz="0" w:space="0" w:color="auto"/>
      </w:divBdr>
    </w:div>
    <w:div w:id="1934431132">
      <w:bodyDiv w:val="1"/>
      <w:marLeft w:val="0"/>
      <w:marRight w:val="0"/>
      <w:marTop w:val="0"/>
      <w:marBottom w:val="0"/>
      <w:divBdr>
        <w:top w:val="none" w:sz="0" w:space="0" w:color="auto"/>
        <w:left w:val="none" w:sz="0" w:space="0" w:color="auto"/>
        <w:bottom w:val="none" w:sz="0" w:space="0" w:color="auto"/>
        <w:right w:val="none" w:sz="0" w:space="0" w:color="auto"/>
      </w:divBdr>
      <w:divsChild>
        <w:div w:id="283461593">
          <w:marLeft w:val="0"/>
          <w:marRight w:val="0"/>
          <w:marTop w:val="0"/>
          <w:marBottom w:val="0"/>
          <w:divBdr>
            <w:top w:val="none" w:sz="0" w:space="0" w:color="auto"/>
            <w:left w:val="none" w:sz="0" w:space="0" w:color="auto"/>
            <w:bottom w:val="none" w:sz="0" w:space="0" w:color="auto"/>
            <w:right w:val="none" w:sz="0" w:space="0" w:color="auto"/>
          </w:divBdr>
        </w:div>
        <w:div w:id="88743671">
          <w:marLeft w:val="0"/>
          <w:marRight w:val="0"/>
          <w:marTop w:val="0"/>
          <w:marBottom w:val="0"/>
          <w:divBdr>
            <w:top w:val="none" w:sz="0" w:space="0" w:color="auto"/>
            <w:left w:val="none" w:sz="0" w:space="0" w:color="auto"/>
            <w:bottom w:val="none" w:sz="0" w:space="0" w:color="auto"/>
            <w:right w:val="none" w:sz="0" w:space="0" w:color="auto"/>
          </w:divBdr>
          <w:divsChild>
            <w:div w:id="1812869534">
              <w:marLeft w:val="0"/>
              <w:marRight w:val="0"/>
              <w:marTop w:val="0"/>
              <w:marBottom w:val="0"/>
              <w:divBdr>
                <w:top w:val="none" w:sz="0" w:space="0" w:color="auto"/>
                <w:left w:val="none" w:sz="0" w:space="0" w:color="auto"/>
                <w:bottom w:val="none" w:sz="0" w:space="0" w:color="auto"/>
                <w:right w:val="none" w:sz="0" w:space="0" w:color="auto"/>
              </w:divBdr>
              <w:divsChild>
                <w:div w:id="13197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so.bcm.edu" TargetMode="External"/><Relationship Id="rId18" Type="http://schemas.openxmlformats.org/officeDocument/2006/relationships/image" Target="media/image8.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so.bcm.edu"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mailto:BSLMC_research@bcm.edu"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cid:image001.jpg@01D2C02B.ACEEBEE0" TargetMode="Externa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081BB-E570-4637-842D-427DA1FE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790</Words>
  <Characters>4503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Baylor College of Medicine</Company>
  <LinksUpToDate>false</LinksUpToDate>
  <CharactersWithSpaces>5283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Esquivel, Angelita R.</dc:creator>
  <cp:keywords/>
  <dc:description/>
  <cp:lastModifiedBy>Esquivel, Angelita R.</cp:lastModifiedBy>
  <cp:revision>19</cp:revision>
  <cp:lastPrinted>2019-09-12T19:32:00Z</cp:lastPrinted>
  <dcterms:created xsi:type="dcterms:W3CDTF">2019-09-13T13:07:00Z</dcterms:created>
  <dcterms:modified xsi:type="dcterms:W3CDTF">2019-09-17T14:17:00Z</dcterms:modified>
</cp:coreProperties>
</file>